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1A7" w:rsidRPr="003C21A7" w:rsidRDefault="003C21A7" w:rsidP="003C21A7">
      <w:pPr>
        <w:spacing w:beforeAutospacing="1" w:after="0" w:afterAutospacing="1" w:line="240" w:lineRule="auto"/>
        <w:jc w:val="center"/>
        <w:rPr>
          <w:rFonts w:ascii="Arial" w:eastAsia="Times New Roman" w:hAnsi="Arial" w:cs="Arial"/>
          <w:color w:val="4F4F4F"/>
          <w:sz w:val="21"/>
          <w:szCs w:val="21"/>
        </w:rPr>
      </w:pPr>
      <w:r w:rsidRPr="003C21A7">
        <w:rPr>
          <w:rFonts w:ascii="Arial" w:eastAsia="Times New Roman" w:hAnsi="Arial" w:cs="Arial"/>
          <w:b/>
          <w:bCs/>
          <w:color w:val="4F4F4F"/>
          <w:sz w:val="21"/>
          <w:szCs w:val="21"/>
        </w:rPr>
        <w:t>EMATICA ȘI BIBLIOGRAFIA</w:t>
      </w:r>
    </w:p>
    <w:p w:rsidR="003C21A7" w:rsidRPr="003C21A7" w:rsidRDefault="003C21A7" w:rsidP="003C21A7">
      <w:pPr>
        <w:spacing w:beforeAutospacing="1" w:after="0" w:afterAutospacing="1" w:line="240" w:lineRule="auto"/>
        <w:jc w:val="center"/>
        <w:rPr>
          <w:rFonts w:ascii="Arial" w:eastAsia="Times New Roman" w:hAnsi="Arial" w:cs="Arial"/>
          <w:color w:val="4F4F4F"/>
          <w:sz w:val="21"/>
          <w:szCs w:val="21"/>
        </w:rPr>
      </w:pPr>
      <w:r w:rsidRPr="003C21A7">
        <w:rPr>
          <w:rFonts w:ascii="Arial" w:eastAsia="Times New Roman" w:hAnsi="Arial" w:cs="Arial"/>
          <w:color w:val="4F4F4F"/>
          <w:sz w:val="21"/>
          <w:szCs w:val="21"/>
        </w:rPr>
        <w:t>pentru ocuparea a</w:t>
      </w:r>
      <w:r w:rsidRPr="003C21A7">
        <w:rPr>
          <w:rFonts w:ascii="Arial" w:eastAsia="Times New Roman" w:hAnsi="Arial" w:cs="Arial"/>
          <w:b/>
          <w:bCs/>
          <w:color w:val="4F4F4F"/>
          <w:sz w:val="21"/>
          <w:szCs w:val="21"/>
        </w:rPr>
        <w:t> 16 posturi vacante de ofițer de poliție specialitatea „ordine publică – silvicultură” </w:t>
      </w:r>
      <w:r w:rsidRPr="003C21A7">
        <w:rPr>
          <w:rFonts w:ascii="Arial" w:eastAsia="Times New Roman" w:hAnsi="Arial" w:cs="Arial"/>
          <w:color w:val="4F4F4F"/>
          <w:sz w:val="21"/>
          <w:szCs w:val="21"/>
        </w:rPr>
        <w:t>și a</w:t>
      </w:r>
      <w:r w:rsidRPr="003C21A7">
        <w:rPr>
          <w:rFonts w:ascii="Arial" w:eastAsia="Times New Roman" w:hAnsi="Arial" w:cs="Arial"/>
          <w:b/>
          <w:bCs/>
          <w:color w:val="4F4F4F"/>
          <w:sz w:val="21"/>
          <w:szCs w:val="21"/>
        </w:rPr>
        <w:t> 10 posturi vacante de agent de poliție specialitatea „ordine publică – silvicultură” </w:t>
      </w:r>
      <w:r w:rsidRPr="003C21A7">
        <w:rPr>
          <w:rFonts w:ascii="Arial" w:eastAsia="Times New Roman" w:hAnsi="Arial" w:cs="Arial"/>
          <w:color w:val="4F4F4F"/>
          <w:sz w:val="21"/>
          <w:szCs w:val="21"/>
        </w:rPr>
        <w:t>în cadrul Poliției Române, prin încadrare directă din sursă externă a persoanelor cu studii corespunzătoare cerințelor postului şi care îndeplinesc condițiile legale</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CAPITOLUL I</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numPr>
          <w:ilvl w:val="0"/>
          <w:numId w:val="1"/>
        </w:numPr>
        <w:spacing w:beforeAutospacing="1" w:after="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TEMATICA</w:t>
      </w:r>
    </w:p>
    <w:p w:rsidR="003C21A7" w:rsidRPr="003C21A7" w:rsidRDefault="003C21A7" w:rsidP="003C21A7">
      <w:pPr>
        <w:numPr>
          <w:ilvl w:val="0"/>
          <w:numId w:val="2"/>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Organizarea și funcționarea Poliției Române;</w:t>
      </w:r>
    </w:p>
    <w:p w:rsidR="003C21A7" w:rsidRPr="003C21A7" w:rsidRDefault="003C21A7" w:rsidP="003C21A7">
      <w:pPr>
        <w:numPr>
          <w:ilvl w:val="0"/>
          <w:numId w:val="2"/>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Atribuțiile Poliției Române;</w:t>
      </w:r>
    </w:p>
    <w:p w:rsidR="003C21A7" w:rsidRPr="003C21A7" w:rsidRDefault="003C21A7" w:rsidP="003C21A7">
      <w:pPr>
        <w:numPr>
          <w:ilvl w:val="0"/>
          <w:numId w:val="2"/>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Drepturile și obligațiile polițiștilor;</w:t>
      </w:r>
    </w:p>
    <w:p w:rsidR="003C21A7" w:rsidRPr="003C21A7" w:rsidRDefault="003C21A7" w:rsidP="003C21A7">
      <w:pPr>
        <w:numPr>
          <w:ilvl w:val="0"/>
          <w:numId w:val="2"/>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Drepturile, îndatoririle și restrângerea exercițiului unor drepturi sau libertăți ale polițistului;</w:t>
      </w:r>
    </w:p>
    <w:p w:rsidR="003C21A7" w:rsidRPr="003C21A7" w:rsidRDefault="003C21A7" w:rsidP="003C21A7">
      <w:pPr>
        <w:numPr>
          <w:ilvl w:val="0"/>
          <w:numId w:val="2"/>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Recompense, răspunderea juridică și sancțiuni;</w:t>
      </w:r>
    </w:p>
    <w:p w:rsidR="003C21A7" w:rsidRPr="003C21A7" w:rsidRDefault="003C21A7" w:rsidP="003C21A7">
      <w:pPr>
        <w:numPr>
          <w:ilvl w:val="0"/>
          <w:numId w:val="2"/>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Încetarea raporturilor de serviciu ale polițistului;</w:t>
      </w:r>
    </w:p>
    <w:p w:rsidR="003C21A7" w:rsidRPr="003C21A7" w:rsidRDefault="003C21A7" w:rsidP="003C21A7">
      <w:pPr>
        <w:numPr>
          <w:ilvl w:val="0"/>
          <w:numId w:val="2"/>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Etica și deontologia polițienească.</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numPr>
          <w:ilvl w:val="0"/>
          <w:numId w:val="3"/>
        </w:numPr>
        <w:spacing w:beforeAutospacing="1" w:after="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BIBLIOGRAFIE</w:t>
      </w:r>
    </w:p>
    <w:p w:rsidR="003C21A7" w:rsidRPr="003C21A7" w:rsidRDefault="003C21A7" w:rsidP="003C21A7">
      <w:pPr>
        <w:numPr>
          <w:ilvl w:val="0"/>
          <w:numId w:val="4"/>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Legea nr. 218/2002 (republicată) privind organizarea și funcționarea Poliției Române (Cap. II, Cap. III, Cap. V);</w:t>
      </w:r>
    </w:p>
    <w:p w:rsidR="003C21A7" w:rsidRPr="003C21A7" w:rsidRDefault="003C21A7" w:rsidP="003C21A7">
      <w:pPr>
        <w:numPr>
          <w:ilvl w:val="0"/>
          <w:numId w:val="4"/>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Legea nr. 360/2002 privind Statutul polițistului (Cap. I, Cap. III – Secțiunea 1, Secțiunea a 2-a, Secțiunea a 3-a, Cap. IV, Cap. V);</w:t>
      </w:r>
    </w:p>
    <w:p w:rsidR="003C21A7" w:rsidRPr="003C21A7" w:rsidRDefault="003C21A7" w:rsidP="003C21A7">
      <w:pPr>
        <w:numPr>
          <w:ilvl w:val="0"/>
          <w:numId w:val="4"/>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H.G. nr. 991/2005 pentru aprobarea Codului de etică și deontologie al polițistului și Anexa (Codul de etică și deontologie al polițistului);</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CAPITOLUL II</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2.1. TEMATICA</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CODUL PENAL</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PARTEA GENERALĂ</w:t>
      </w:r>
    </w:p>
    <w:p w:rsidR="003C21A7" w:rsidRPr="003C21A7" w:rsidRDefault="003C21A7" w:rsidP="003C21A7">
      <w:pPr>
        <w:numPr>
          <w:ilvl w:val="0"/>
          <w:numId w:val="5"/>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lastRenderedPageBreak/>
        <w:t>Infracțiunea (Titlul II - Cap. I, Cap. II, Cap. III și Cap. VI);</w:t>
      </w:r>
    </w:p>
    <w:p w:rsidR="003C21A7" w:rsidRPr="003C21A7" w:rsidRDefault="003C21A7" w:rsidP="003C21A7">
      <w:pPr>
        <w:numPr>
          <w:ilvl w:val="0"/>
          <w:numId w:val="5"/>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Răspunderea penală a persoanei juridice (Titlul VI - Cap. I, Cap. II și Cap. III);</w:t>
      </w:r>
    </w:p>
    <w:p w:rsidR="003C21A7" w:rsidRPr="003C21A7" w:rsidRDefault="003C21A7" w:rsidP="003C21A7">
      <w:pPr>
        <w:numPr>
          <w:ilvl w:val="0"/>
          <w:numId w:val="5"/>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Cauzele care înlătură răspunderea penală (Titlul VII);</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PARTEA SPECIALĂ</w:t>
      </w:r>
    </w:p>
    <w:p w:rsidR="003C21A7" w:rsidRPr="003C21A7" w:rsidRDefault="003C21A7" w:rsidP="003C21A7">
      <w:pPr>
        <w:numPr>
          <w:ilvl w:val="0"/>
          <w:numId w:val="6"/>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Infracțiuni contra persoanei (Titlul I - Cap. I, Cap. II, Cap. V și Cap. VI);</w:t>
      </w:r>
    </w:p>
    <w:p w:rsidR="003C21A7" w:rsidRPr="003C21A7" w:rsidRDefault="003C21A7" w:rsidP="003C21A7">
      <w:pPr>
        <w:numPr>
          <w:ilvl w:val="0"/>
          <w:numId w:val="6"/>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Infracțiuni contra patrimoniului (Titlul II);</w:t>
      </w:r>
    </w:p>
    <w:p w:rsidR="003C21A7" w:rsidRPr="003C21A7" w:rsidRDefault="003C21A7" w:rsidP="003C21A7">
      <w:pPr>
        <w:numPr>
          <w:ilvl w:val="0"/>
          <w:numId w:val="6"/>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Infracțiuni contra înfăptuirii justiției (Titlul IV);</w:t>
      </w:r>
    </w:p>
    <w:p w:rsidR="003C21A7" w:rsidRPr="003C21A7" w:rsidRDefault="003C21A7" w:rsidP="003C21A7">
      <w:pPr>
        <w:numPr>
          <w:ilvl w:val="0"/>
          <w:numId w:val="6"/>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Infracțiuni de corupție și de serviciu (Titlul V);</w:t>
      </w:r>
    </w:p>
    <w:p w:rsidR="003C21A7" w:rsidRPr="003C21A7" w:rsidRDefault="003C21A7" w:rsidP="003C21A7">
      <w:pPr>
        <w:numPr>
          <w:ilvl w:val="0"/>
          <w:numId w:val="6"/>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Infracțiuni de fals (Titlul VI - Cap. II și Cap. III).</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CODUL DE PROCEDURĂ PENALĂ</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PARTEA GENERALĂ</w:t>
      </w:r>
    </w:p>
    <w:p w:rsidR="003C21A7" w:rsidRPr="003C21A7" w:rsidRDefault="003C21A7" w:rsidP="003C21A7">
      <w:pPr>
        <w:numPr>
          <w:ilvl w:val="0"/>
          <w:numId w:val="7"/>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Acțiunea penală și acțiunea civilă în procesul penal (Titlul II - Cap. I și Cap. II);</w:t>
      </w:r>
    </w:p>
    <w:p w:rsidR="003C21A7" w:rsidRPr="003C21A7" w:rsidRDefault="003C21A7" w:rsidP="003C21A7">
      <w:pPr>
        <w:numPr>
          <w:ilvl w:val="0"/>
          <w:numId w:val="7"/>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Participanții în procesul penal (Titlul III - Cap. I, Cap. II - Secțiunea a 5-a, Cap. III, Cap. IV, Cap. V, Cap. VI și Cap. VII);</w:t>
      </w:r>
    </w:p>
    <w:p w:rsidR="003C21A7" w:rsidRPr="003C21A7" w:rsidRDefault="003C21A7" w:rsidP="003C21A7">
      <w:pPr>
        <w:numPr>
          <w:ilvl w:val="0"/>
          <w:numId w:val="7"/>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Probele, mijloacele de probă și procedeele probatorii (Titlul IV);</w:t>
      </w:r>
    </w:p>
    <w:p w:rsidR="003C21A7" w:rsidRPr="003C21A7" w:rsidRDefault="003C21A7" w:rsidP="003C21A7">
      <w:pPr>
        <w:numPr>
          <w:ilvl w:val="0"/>
          <w:numId w:val="7"/>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Măsurile preventive și alte măsuri procesuale (Titlul V - Cap. I și Cap. III);</w:t>
      </w:r>
    </w:p>
    <w:p w:rsidR="003C21A7" w:rsidRPr="003C21A7" w:rsidRDefault="003C21A7" w:rsidP="003C21A7">
      <w:pPr>
        <w:numPr>
          <w:ilvl w:val="0"/>
          <w:numId w:val="7"/>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Acte procesuale și procedurale comune (Titlul VI).</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PARTEA SPECIALĂ</w:t>
      </w:r>
    </w:p>
    <w:p w:rsidR="003C21A7" w:rsidRPr="003C21A7" w:rsidRDefault="003C21A7" w:rsidP="003C21A7">
      <w:pPr>
        <w:numPr>
          <w:ilvl w:val="0"/>
          <w:numId w:val="8"/>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Urmărirea penală (Titlul I);</w:t>
      </w:r>
    </w:p>
    <w:p w:rsidR="003C21A7" w:rsidRPr="003C21A7" w:rsidRDefault="003C21A7" w:rsidP="003C21A7">
      <w:pPr>
        <w:numPr>
          <w:ilvl w:val="0"/>
          <w:numId w:val="8"/>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Proceduri speciale (Titlul IV - Cap. I).</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2.2. </w:t>
      </w:r>
      <w:r w:rsidRPr="003C21A7">
        <w:rPr>
          <w:rFonts w:ascii="Arial" w:eastAsia="Times New Roman" w:hAnsi="Arial" w:cs="Arial"/>
          <w:b/>
          <w:bCs/>
          <w:color w:val="4F4F4F"/>
          <w:sz w:val="21"/>
          <w:szCs w:val="21"/>
          <w:u w:val="single"/>
        </w:rPr>
        <w:t>BIBLIOGRAFIE</w:t>
      </w:r>
    </w:p>
    <w:p w:rsidR="003C21A7" w:rsidRPr="003C21A7" w:rsidRDefault="003C21A7" w:rsidP="003C21A7">
      <w:pPr>
        <w:numPr>
          <w:ilvl w:val="0"/>
          <w:numId w:val="9"/>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Legea nr. 286/2009 privind Codul Penal;</w:t>
      </w:r>
    </w:p>
    <w:p w:rsidR="003C21A7" w:rsidRPr="003C21A7" w:rsidRDefault="003C21A7" w:rsidP="003C21A7">
      <w:pPr>
        <w:numPr>
          <w:ilvl w:val="0"/>
          <w:numId w:val="9"/>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PARTEA GENERALĂ (Titlul II - Cap. I, Cap. II, Cap. III și Cap. VI; Titlul VI - Cap. I și Cap. II; Titlul VII);</w:t>
      </w:r>
    </w:p>
    <w:p w:rsidR="003C21A7" w:rsidRPr="003C21A7" w:rsidRDefault="003C21A7" w:rsidP="003C21A7">
      <w:pPr>
        <w:numPr>
          <w:ilvl w:val="0"/>
          <w:numId w:val="9"/>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PARTEA SPECIALĂ (Titlul I - Cap. I, Cap. II, Cap. V și Cap. VI; Titlul II; Titlul IV,  Titlul V; Titlul VI - Cap. II și Cap. III);</w:t>
      </w:r>
    </w:p>
    <w:p w:rsidR="003C21A7" w:rsidRPr="003C21A7" w:rsidRDefault="003C21A7" w:rsidP="003C21A7">
      <w:pPr>
        <w:numPr>
          <w:ilvl w:val="0"/>
          <w:numId w:val="9"/>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Legea nr. 135/2010 privind Codul de Procedură Penală;</w:t>
      </w:r>
    </w:p>
    <w:p w:rsidR="003C21A7" w:rsidRPr="003C21A7" w:rsidRDefault="003C21A7" w:rsidP="003C21A7">
      <w:pPr>
        <w:numPr>
          <w:ilvl w:val="0"/>
          <w:numId w:val="9"/>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PARTEA GENERALĂ (Titlul II - Cap. I și Cap. II; Titlul III- Cap. I, Cap. II - Secțiunea a 5-a, Cap. III, Cap. IV, Cap. V, Cap. VI și Cap. VII; Titlul IV; Titlul V - Cap. I și Cap. III; Titlul VI);</w:t>
      </w:r>
    </w:p>
    <w:p w:rsidR="003C21A7" w:rsidRPr="003C21A7" w:rsidRDefault="003C21A7" w:rsidP="003C21A7">
      <w:pPr>
        <w:numPr>
          <w:ilvl w:val="0"/>
          <w:numId w:val="9"/>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PARTEA SPECIALĂ (Titlul I, Titlul IV- Cap. I).</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lastRenderedPageBreak/>
        <w:t> </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CAPITOLUL III</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 3.1.TEMATICĂ</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Administrarea fondului forestier național;</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Amenajarea pădurilor;</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Asigurarea integrității fondului forestier național;</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Paza și protecția pădurilor;</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Produsele specifice fondului forestier național;</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Exploatarea masei lemnoase;</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Proveniența și circulația materialelor lemnoase;</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Controlul aplicării și respectării regimului silvic;</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Răspunderi și sancțiuni;</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Exploatarea masei lemnoase și recoltarea produselor nelemnoase;</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Controlul aplicării normelor privind circulația materialelor lemnoase, al depozitelor și instalațiilor de prelucrare a lemnului;</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Constatarea contravențiilor silvice și aplicarea sancțiunilor;</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Norme referitoare la proveniența, circulația și comercializarea materialelor lemnoase, la regimul spațiilor de depozitare a materialelor lemnoase și al instalațiilor de prelucrat lemn rotund, precum și cele privind proveniența și circulația materialelor lemnoase destinate consumului propriu al proprietarului și unele măsuri de aplicare a prevederilor Regulamentului (UE) nr. 995/2010 al Parlamentului European și al Consiliului din 20 octombrie 2010 de stabilire a obligațiilor care revin operatorilor care introduc pe piață lemn și produse din lemn;</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Metodologia privind organizarea și funcționarea aplicațiilor SUMAL 2.0, obligațiile utilizatorilor SUMAL 2.0, structura și modalitatea de transmitere a informațiilor standardizate și costurile serviciilor de emitere a avizelor de însoțire pentru situațiile prevăzute la art. 11 din Normele referitoare la proveniența, circulația și comercializarea materialelor lemnoase, la regimul spațiilor de depozitare a materialelor lemnoase și al instalațiilor de prelucrat lemn rotund, precum și cele privind proveniența și circulația materialelor lemnoase destinate consumului propriu al proprietarului și unele măsuri de aplicare a prevederilor Regulamentului (UE) nr. 995/2010 al Parlamentului European și al Consiliului din 20 octombrie 2010 de stabilire a obligațiilor care revin operatorilor care introduc pe piață lemn și produse din lemn, aprobate prin Hotărârea Guvernului nr. 497/2020;</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Instrucțiunile privind termenele, modalitățile și perioadele de colectare, scoatere și transport al materialului lemnos;</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Regulamentul privind forma și modul de utilizare a dispozitivelor speciale de marcat, precum și modul de marcare a arborilor sau a unor loturi de arbori;</w:t>
      </w:r>
    </w:p>
    <w:p w:rsidR="003C21A7" w:rsidRPr="003C21A7" w:rsidRDefault="003C21A7" w:rsidP="003C21A7">
      <w:pPr>
        <w:numPr>
          <w:ilvl w:val="0"/>
          <w:numId w:val="10"/>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Regulamentul de pază a fondului forestier;</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br/>
      </w:r>
      <w:r w:rsidRPr="003C21A7">
        <w:rPr>
          <w:rFonts w:ascii="Arial" w:eastAsia="Times New Roman" w:hAnsi="Arial" w:cs="Arial"/>
          <w:b/>
          <w:bCs/>
          <w:color w:val="4F4F4F"/>
          <w:sz w:val="21"/>
          <w:szCs w:val="21"/>
        </w:rPr>
        <w:t>3.2. BIBLIOGRAFIE</w:t>
      </w:r>
    </w:p>
    <w:p w:rsidR="003C21A7" w:rsidRPr="003C21A7" w:rsidRDefault="003C21A7" w:rsidP="003C21A7">
      <w:pPr>
        <w:numPr>
          <w:ilvl w:val="0"/>
          <w:numId w:val="11"/>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CODUL SILVIC din 19 martie 2008 (**republicat**) - Legea nr. 46/2008 (Titlul II, Titlul III - Cap. I, IV, VI, VII, VIII, IX, Titlul V, Titlul VI);</w:t>
      </w:r>
    </w:p>
    <w:p w:rsidR="003C21A7" w:rsidRPr="003C21A7" w:rsidRDefault="003C21A7" w:rsidP="003C21A7">
      <w:pPr>
        <w:numPr>
          <w:ilvl w:val="0"/>
          <w:numId w:val="11"/>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Legea nr. 171/2010 privind stabilirea și sancționarea contravențiilor silvice   (Cap. VI, VII, VIII);</w:t>
      </w:r>
    </w:p>
    <w:p w:rsidR="003C21A7" w:rsidRPr="003C21A7" w:rsidRDefault="003C21A7" w:rsidP="003C21A7">
      <w:pPr>
        <w:numPr>
          <w:ilvl w:val="0"/>
          <w:numId w:val="11"/>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 xml:space="preserve">Hotărârea de Guvern nr. 497 din 25 iunie 2020 pentru aprobarea Normelor referitoare la proveniența, circulația și comercializarea materialelor lemnoase, la regimul spațiilor de depozitare a materialelor lemnoase și al instalațiilor de prelucrat lemn rotund, precum și a celor privind proveniența și circulația materialelor lemnoase destinate consumului propriu al proprietarului și a unor măsuri de aplicare a prevederilor Regulamentului (UE) nr. 995/2010 al Parlamentului European și al Consiliului din 20 </w:t>
      </w:r>
      <w:r w:rsidRPr="003C21A7">
        <w:rPr>
          <w:rFonts w:ascii="Arial" w:eastAsia="Times New Roman" w:hAnsi="Arial" w:cs="Arial"/>
          <w:color w:val="4F4F4F"/>
          <w:sz w:val="21"/>
          <w:szCs w:val="21"/>
        </w:rPr>
        <w:lastRenderedPageBreak/>
        <w:t>octombrie 2010 de stabilire a obligațiilor care revin operatorilor care introduc pe piață lemn și produse din lemn;</w:t>
      </w:r>
    </w:p>
    <w:p w:rsidR="003C21A7" w:rsidRPr="003C21A7" w:rsidRDefault="003C21A7" w:rsidP="003C21A7">
      <w:pPr>
        <w:numPr>
          <w:ilvl w:val="0"/>
          <w:numId w:val="11"/>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Ordinul ministrului mediului, apelor și pădurilor nr. 118 din 27 ianuarie 2021 pentru aprobarea Metodologiei privind organizarea și funcționarea aplicațiilor SUMAL 2.0, obligațiile utilizatorilor SUMAL 2.0, structura și modalitatea de transmitere a informațiilor standardizate și costurile serviciilor de emitere a avizelor de însoțire pentru situațiile prevăzute la art. 11 din Normele referitoare la proveniența, circulația și comercializarea materialelor lemnoase, la regimul spațiilor de depozitare a materialelor lemnoase și al instalațiilor de prelucrat lemn rotund, precum și cele privind proveniența și circulația materialelor lemnoase destinate consumului propriu al proprietarului și unele măsuri de aplicare a prevederilor Regulamentului (UE) nr. 995/2010 al Parlamentului European și al Consiliului din 20 octombrie 2010 de stabilire a obligațiilor care revin operatorilor care introduc pe piață lemn și produse din lemn, aprobate prin Hotărârea Guvernului nr. 497/2020;</w:t>
      </w:r>
    </w:p>
    <w:p w:rsidR="003C21A7" w:rsidRPr="003C21A7" w:rsidRDefault="003C21A7" w:rsidP="003C21A7">
      <w:pPr>
        <w:numPr>
          <w:ilvl w:val="0"/>
          <w:numId w:val="11"/>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Ordinul ministrului mediului și pădurilor nr. 1.540 din 3 iunie 2011 pentru aprobarea Instrucțiunilor privind termenele, modalitățile și perioadele de colectare, scoatere și transport al materialului lemnos;</w:t>
      </w:r>
    </w:p>
    <w:p w:rsidR="003C21A7" w:rsidRPr="003C21A7" w:rsidRDefault="003C21A7" w:rsidP="003C21A7">
      <w:pPr>
        <w:numPr>
          <w:ilvl w:val="0"/>
          <w:numId w:val="11"/>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Ordinul ministrului mediului și pădurilor nr. 1.346 din 2 mai 2011 pentru aprobarea Regulamentului privind forma și modul de utilizare a dispozitivelor speciale de marcat, precum și modul de marcare a arborilor sau a unor loturi de arbori;</w:t>
      </w:r>
    </w:p>
    <w:p w:rsidR="003C21A7" w:rsidRPr="003C21A7" w:rsidRDefault="003C21A7" w:rsidP="003C21A7">
      <w:pPr>
        <w:numPr>
          <w:ilvl w:val="0"/>
          <w:numId w:val="11"/>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Hotărârea Guvernului nr. 1.076 din 23 septembrie 2009 pentru aprobarea Regulamentului de pază a fondului forestier;</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CAPITOLUL IV</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4.1. </w:t>
      </w:r>
      <w:r w:rsidRPr="003C21A7">
        <w:rPr>
          <w:rFonts w:ascii="Arial" w:eastAsia="Times New Roman" w:hAnsi="Arial" w:cs="Arial"/>
          <w:b/>
          <w:bCs/>
          <w:color w:val="4F4F4F"/>
          <w:sz w:val="21"/>
          <w:szCs w:val="21"/>
          <w:u w:val="single"/>
        </w:rPr>
        <w:t>TEMATICA</w:t>
      </w:r>
    </w:p>
    <w:p w:rsidR="003C21A7" w:rsidRPr="003C21A7" w:rsidRDefault="003C21A7" w:rsidP="003C21A7">
      <w:pPr>
        <w:numPr>
          <w:ilvl w:val="0"/>
          <w:numId w:val="12"/>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Accesul liber la informațiile de interes public;</w:t>
      </w:r>
    </w:p>
    <w:p w:rsidR="003C21A7" w:rsidRPr="003C21A7" w:rsidRDefault="003C21A7" w:rsidP="003C21A7">
      <w:pPr>
        <w:numPr>
          <w:ilvl w:val="0"/>
          <w:numId w:val="12"/>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Reglementarea activității de soluționare a petițiilor; </w:t>
      </w:r>
    </w:p>
    <w:p w:rsidR="003C21A7" w:rsidRPr="003C21A7" w:rsidRDefault="003C21A7" w:rsidP="003C21A7">
      <w:pPr>
        <w:numPr>
          <w:ilvl w:val="0"/>
          <w:numId w:val="12"/>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Activitățile de soluționare a petițiilor, primire în audiență și consiliere a cetățenilor în Ministerul Afacerilor Interne;</w:t>
      </w:r>
    </w:p>
    <w:p w:rsidR="003C21A7" w:rsidRPr="003C21A7" w:rsidRDefault="003C21A7" w:rsidP="003C21A7">
      <w:pPr>
        <w:numPr>
          <w:ilvl w:val="0"/>
          <w:numId w:val="12"/>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Măsuri de punere în aplicare a Regulamentului (UE) 2016/679 al Parlamentului European și al Consiliului din 27 aprilie 2016 privind protecția persoanelor fizice în ceea ce privește prelucrarea datelor cu caracter personal și privind libera circulație a acestor date;</w:t>
      </w:r>
    </w:p>
    <w:p w:rsidR="003C21A7" w:rsidRPr="003C21A7" w:rsidRDefault="003C21A7" w:rsidP="003C21A7">
      <w:pPr>
        <w:numPr>
          <w:ilvl w:val="0"/>
          <w:numId w:val="12"/>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Clasificarea și declasificarea informațiilor. Măsuri minime de protecție specifice claselor și nivelurilor de secretizare;</w:t>
      </w:r>
    </w:p>
    <w:p w:rsidR="003C21A7" w:rsidRPr="003C21A7" w:rsidRDefault="003C21A7" w:rsidP="003C21A7">
      <w:pPr>
        <w:numPr>
          <w:ilvl w:val="0"/>
          <w:numId w:val="12"/>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Reguli generale privind evidența, întocmirea, păstrarea, procesarea, multiplicarea, manipularea, transportul, transmiterea și distrugerea informațiilor clasificate;</w:t>
      </w:r>
    </w:p>
    <w:p w:rsidR="003C21A7" w:rsidRPr="003C21A7" w:rsidRDefault="003C21A7" w:rsidP="003C21A7">
      <w:pPr>
        <w:numPr>
          <w:ilvl w:val="0"/>
          <w:numId w:val="12"/>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Contravenții și sancțiuni la normele privind protecția informațiilor clasificate.</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b/>
          <w:bCs/>
          <w:color w:val="4F4F4F"/>
          <w:sz w:val="21"/>
          <w:szCs w:val="21"/>
        </w:rPr>
        <w:t>4.2. </w:t>
      </w:r>
      <w:r w:rsidRPr="003C21A7">
        <w:rPr>
          <w:rFonts w:ascii="Arial" w:eastAsia="Times New Roman" w:hAnsi="Arial" w:cs="Arial"/>
          <w:b/>
          <w:bCs/>
          <w:color w:val="4F4F4F"/>
          <w:sz w:val="21"/>
          <w:szCs w:val="21"/>
          <w:u w:val="single"/>
        </w:rPr>
        <w:t>BIBLIOGRAFIE</w:t>
      </w:r>
    </w:p>
    <w:p w:rsidR="003C21A7" w:rsidRPr="003C21A7" w:rsidRDefault="003C21A7" w:rsidP="003C21A7">
      <w:pPr>
        <w:numPr>
          <w:ilvl w:val="0"/>
          <w:numId w:val="13"/>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lastRenderedPageBreak/>
        <w:t>Legea nr. 544/2001 privind liberul acces la informațiile de interes public, cu modificările și completările ulterioare;</w:t>
      </w:r>
    </w:p>
    <w:p w:rsidR="003C21A7" w:rsidRPr="003C21A7" w:rsidRDefault="003C21A7" w:rsidP="003C21A7">
      <w:pPr>
        <w:numPr>
          <w:ilvl w:val="0"/>
          <w:numId w:val="13"/>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O.G. nr. 27/2002 privind reglementarea activității de soluționare a petițiilor, cu modificările și completările ulterioare;</w:t>
      </w:r>
    </w:p>
    <w:p w:rsidR="003C21A7" w:rsidRPr="003C21A7" w:rsidRDefault="003C21A7" w:rsidP="003C21A7">
      <w:pPr>
        <w:numPr>
          <w:ilvl w:val="0"/>
          <w:numId w:val="13"/>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O.M.A.I. 33/2020 privind activitățile de soluționare a petițiilor, primirea în audiență și consiliere a cetățenilor în M.A.I.;</w:t>
      </w:r>
    </w:p>
    <w:p w:rsidR="003C21A7" w:rsidRPr="003C21A7" w:rsidRDefault="003C21A7" w:rsidP="003C21A7">
      <w:pPr>
        <w:numPr>
          <w:ilvl w:val="0"/>
          <w:numId w:val="14"/>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Legea nr.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w:t>
      </w:r>
    </w:p>
    <w:p w:rsidR="003C21A7" w:rsidRPr="003C21A7" w:rsidRDefault="003C21A7" w:rsidP="003C21A7">
      <w:pPr>
        <w:numPr>
          <w:ilvl w:val="0"/>
          <w:numId w:val="14"/>
        </w:numPr>
        <w:spacing w:before="100" w:beforeAutospacing="1" w:after="100" w:afterAutospacing="1" w:line="240" w:lineRule="auto"/>
        <w:ind w:left="0"/>
        <w:jc w:val="both"/>
        <w:rPr>
          <w:rFonts w:ascii="Arial" w:eastAsia="Times New Roman" w:hAnsi="Arial" w:cs="Arial"/>
          <w:color w:val="4F4F4F"/>
          <w:sz w:val="21"/>
          <w:szCs w:val="21"/>
        </w:rPr>
      </w:pPr>
      <w:r w:rsidRPr="003C21A7">
        <w:rPr>
          <w:rFonts w:ascii="Arial" w:eastAsia="Times New Roman" w:hAnsi="Arial" w:cs="Arial"/>
          <w:color w:val="4F4F4F"/>
          <w:sz w:val="21"/>
          <w:szCs w:val="21"/>
        </w:rPr>
        <w:t>H.G. nr. 585/2002 pentru aprobarea Standardelor Naționale de protecție a informațiilor clasificate în România, (Cap. 2, Cap. 3, Cap.9)</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100" w:beforeAutospacing="1" w:after="100" w:afterAutospacing="1" w:line="240" w:lineRule="auto"/>
        <w:jc w:val="both"/>
        <w:rPr>
          <w:rFonts w:ascii="Arial" w:eastAsia="Times New Roman" w:hAnsi="Arial" w:cs="Arial"/>
          <w:color w:val="4F4F4F"/>
          <w:sz w:val="21"/>
          <w:szCs w:val="21"/>
        </w:rPr>
      </w:pPr>
      <w:r w:rsidRPr="003C21A7">
        <w:rPr>
          <w:rFonts w:ascii="Arial" w:eastAsia="Times New Roman" w:hAnsi="Arial" w:cs="Arial"/>
          <w:color w:val="4F4F4F"/>
          <w:sz w:val="21"/>
          <w:szCs w:val="21"/>
        </w:rPr>
        <w:t> </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i/>
          <w:iCs/>
          <w:color w:val="4F4F4F"/>
          <w:sz w:val="21"/>
          <w:szCs w:val="21"/>
          <w:u w:val="single"/>
        </w:rPr>
        <w:t>*Candidații vor studia tematica și bibliografia specifică postului pentru care candidează.</w:t>
      </w:r>
    </w:p>
    <w:p w:rsidR="003C21A7" w:rsidRPr="003C21A7" w:rsidRDefault="003C21A7" w:rsidP="003C21A7">
      <w:pPr>
        <w:spacing w:beforeAutospacing="1" w:after="0" w:afterAutospacing="1" w:line="240" w:lineRule="auto"/>
        <w:jc w:val="both"/>
        <w:rPr>
          <w:rFonts w:ascii="Arial" w:eastAsia="Times New Roman" w:hAnsi="Arial" w:cs="Arial"/>
          <w:color w:val="4F4F4F"/>
          <w:sz w:val="21"/>
          <w:szCs w:val="21"/>
        </w:rPr>
      </w:pPr>
      <w:r w:rsidRPr="003C21A7">
        <w:rPr>
          <w:rFonts w:ascii="Arial" w:eastAsia="Times New Roman" w:hAnsi="Arial" w:cs="Arial"/>
          <w:i/>
          <w:iCs/>
          <w:color w:val="4F4F4F"/>
          <w:sz w:val="21"/>
          <w:szCs w:val="21"/>
          <w:u w:val="single"/>
        </w:rPr>
        <w:t>*Candidații vor studia actele normative stabilite în bibliografie cu toate modificările și completările avute la data publicării prezentului anunț.</w:t>
      </w:r>
    </w:p>
    <w:p w:rsidR="0044283D" w:rsidRDefault="0044283D">
      <w:bookmarkStart w:id="0" w:name="_GoBack"/>
      <w:bookmarkEnd w:id="0"/>
    </w:p>
    <w:sectPr w:rsidR="004428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54C2"/>
    <w:multiLevelType w:val="multilevel"/>
    <w:tmpl w:val="E23235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2A21D05"/>
    <w:multiLevelType w:val="multilevel"/>
    <w:tmpl w:val="0CB25F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7092374"/>
    <w:multiLevelType w:val="multilevel"/>
    <w:tmpl w:val="7DA6EC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E5E6298"/>
    <w:multiLevelType w:val="multilevel"/>
    <w:tmpl w:val="52B45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F8296C"/>
    <w:multiLevelType w:val="multilevel"/>
    <w:tmpl w:val="B3205C4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E4578A9"/>
    <w:multiLevelType w:val="multilevel"/>
    <w:tmpl w:val="795050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3B4041CE"/>
    <w:multiLevelType w:val="multilevel"/>
    <w:tmpl w:val="85C8AF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45DC592B"/>
    <w:multiLevelType w:val="multilevel"/>
    <w:tmpl w:val="28FC9C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495C1832"/>
    <w:multiLevelType w:val="multilevel"/>
    <w:tmpl w:val="CB7E31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4A8210A4"/>
    <w:multiLevelType w:val="multilevel"/>
    <w:tmpl w:val="4314BD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4A822438"/>
    <w:multiLevelType w:val="multilevel"/>
    <w:tmpl w:val="6BC831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67737B52"/>
    <w:multiLevelType w:val="multilevel"/>
    <w:tmpl w:val="8FF428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6BC94316"/>
    <w:multiLevelType w:val="multilevel"/>
    <w:tmpl w:val="E026C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73A3CFE"/>
    <w:multiLevelType w:val="multilevel"/>
    <w:tmpl w:val="4AFE5E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3"/>
    <w:lvlOverride w:ilvl="0">
      <w:startOverride w:val="1"/>
    </w:lvlOverride>
  </w:num>
  <w:num w:numId="2">
    <w:abstractNumId w:val="7"/>
  </w:num>
  <w:num w:numId="3">
    <w:abstractNumId w:val="12"/>
    <w:lvlOverride w:ilvl="0">
      <w:startOverride w:val="1"/>
    </w:lvlOverride>
  </w:num>
  <w:num w:numId="4">
    <w:abstractNumId w:val="10"/>
  </w:num>
  <w:num w:numId="5">
    <w:abstractNumId w:val="5"/>
  </w:num>
  <w:num w:numId="6">
    <w:abstractNumId w:val="6"/>
  </w:num>
  <w:num w:numId="7">
    <w:abstractNumId w:val="0"/>
  </w:num>
  <w:num w:numId="8">
    <w:abstractNumId w:val="13"/>
  </w:num>
  <w:num w:numId="9">
    <w:abstractNumId w:val="4"/>
  </w:num>
  <w:num w:numId="10">
    <w:abstractNumId w:val="11"/>
  </w:num>
  <w:num w:numId="11">
    <w:abstractNumId w:val="2"/>
  </w:num>
  <w:num w:numId="12">
    <w:abstractNumId w:val="1"/>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D28"/>
    <w:rsid w:val="003C21A7"/>
    <w:rsid w:val="0044283D"/>
    <w:rsid w:val="00834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DD6C60-C78E-48BE-84B7-C824B4AA0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43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1444</Words>
  <Characters>8235</Characters>
  <Application>Microsoft Office Word</Application>
  <DocSecurity>0</DocSecurity>
  <Lines>68</Lines>
  <Paragraphs>19</Paragraphs>
  <ScaleCrop>false</ScaleCrop>
  <Company/>
  <LinksUpToDate>false</LinksUpToDate>
  <CharactersWithSpaces>9660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DTI-Dispecerat</dc:creator>
  <cp:keywords/>
  <dc:description/>
  <cp:lastModifiedBy>DTI-Dispecerat</cp:lastModifiedBy>
  <cp:revision>3</cp:revision>
  <dcterms:created xsi:type="dcterms:W3CDTF">2021-09-23T17:29:00Z</dcterms:created>
  <dcterms:modified xsi:type="dcterms:W3CDTF">2021-09-23T17:29:00Z</dcterms:modified>
</cp:coreProperties>
</file>